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Mkatabulky"/>
        <w:tblW w:w="0" w:type="auto"/>
        <w:tblLook w:val="04A0" w:firstRow="1" w:lastRow="0" w:firstColumn="1" w:lastColumn="0" w:noHBand="0" w:noVBand="1"/>
      </w:tblPr>
      <w:tblGrid>
        <w:gridCol w:w="9062"/>
      </w:tblGrid>
      <w:tr w:rsidR="00271502" w:rsidTr="00271502">
        <w:tc>
          <w:tcPr>
            <w:tcW w:w="9062" w:type="dxa"/>
            <w:shd w:val="clear" w:color="auto" w:fill="FFF2CC" w:themeFill="accent4" w:themeFillTint="33"/>
          </w:tcPr>
          <w:p w:rsidR="00271502" w:rsidRPr="00271502" w:rsidRDefault="00271502" w:rsidP="00271502">
            <w:pPr>
              <w:jc w:val="center"/>
              <w:rPr>
                <w:sz w:val="28"/>
                <w:szCs w:val="28"/>
              </w:rPr>
            </w:pPr>
            <w:r w:rsidRPr="00271502">
              <w:rPr>
                <w:sz w:val="28"/>
                <w:szCs w:val="28"/>
              </w:rPr>
              <w:t>Technické podmínky</w:t>
            </w:r>
          </w:p>
        </w:tc>
      </w:tr>
    </w:tbl>
    <w:p w:rsidR="004E67F6" w:rsidRPr="003920B4" w:rsidRDefault="003424E3" w:rsidP="00271502">
      <w:pPr>
        <w:ind w:left="2124" w:firstLine="708"/>
        <w:rPr>
          <w:b/>
          <w:sz w:val="28"/>
          <w:szCs w:val="28"/>
        </w:rPr>
      </w:pPr>
      <w:r w:rsidRPr="003424E3">
        <w:rPr>
          <w:b/>
          <w:sz w:val="28"/>
          <w:szCs w:val="28"/>
        </w:rPr>
        <w:t xml:space="preserve">Revitalizace </w:t>
      </w:r>
      <w:proofErr w:type="spellStart"/>
      <w:r w:rsidRPr="003424E3">
        <w:rPr>
          <w:b/>
          <w:sz w:val="28"/>
          <w:szCs w:val="28"/>
        </w:rPr>
        <w:t>stř</w:t>
      </w:r>
      <w:proofErr w:type="spellEnd"/>
      <w:r w:rsidRPr="003424E3">
        <w:rPr>
          <w:b/>
          <w:sz w:val="28"/>
          <w:szCs w:val="28"/>
        </w:rPr>
        <w:t>. Třešť (2. letá akce)</w:t>
      </w:r>
      <w:bookmarkStart w:id="0" w:name="_GoBack"/>
      <w:bookmarkEnd w:id="0"/>
    </w:p>
    <w:p w:rsidR="004C1A0B" w:rsidRDefault="00936E40" w:rsidP="007466EA">
      <w:pPr>
        <w:autoSpaceDE w:val="0"/>
        <w:autoSpaceDN w:val="0"/>
        <w:adjustRightInd w:val="0"/>
        <w:spacing w:after="0" w:line="240" w:lineRule="auto"/>
        <w:jc w:val="both"/>
      </w:pPr>
      <w:r>
        <w:t>Předmětem stavební akce je ,,S</w:t>
      </w:r>
      <w:r w:rsidR="000C3242">
        <w:t>nížení energetické náročnosti budov Krajské správy a údržby silnic Vysočina v Třešti – provozní budova</w:t>
      </w:r>
      <w:r>
        <w:t>“</w:t>
      </w:r>
      <w:r w:rsidR="000C3242">
        <w:t>. Řešený objekt je umístěn na pozemku p.</w:t>
      </w:r>
      <w:r w:rsidR="00191D81">
        <w:t xml:space="preserve"> </w:t>
      </w:r>
      <w:r w:rsidR="000C3242">
        <w:t>č. 3609/2, v katastrálním území Třešť [770761], ulice Dr. Richtra 1370, p.</w:t>
      </w:r>
      <w:r w:rsidR="00191D81">
        <w:t xml:space="preserve"> </w:t>
      </w:r>
      <w:r w:rsidR="000C3242">
        <w:t>č. 3609/5.</w:t>
      </w:r>
    </w:p>
    <w:p w:rsidR="000C3242" w:rsidRDefault="000C3242" w:rsidP="007466EA">
      <w:pPr>
        <w:autoSpaceDE w:val="0"/>
        <w:autoSpaceDN w:val="0"/>
        <w:adjustRightInd w:val="0"/>
        <w:spacing w:after="0" w:line="240" w:lineRule="auto"/>
        <w:jc w:val="both"/>
      </w:pPr>
    </w:p>
    <w:p w:rsidR="004C1A0B" w:rsidRPr="00004FD3" w:rsidRDefault="004C1A0B" w:rsidP="007466EA">
      <w:pPr>
        <w:jc w:val="both"/>
        <w:rPr>
          <w:u w:val="single"/>
        </w:rPr>
      </w:pPr>
      <w:r>
        <w:rPr>
          <w:u w:val="single"/>
        </w:rPr>
        <w:t>Stavební objekty akce:</w:t>
      </w:r>
    </w:p>
    <w:p w:rsidR="004C1A0B" w:rsidRPr="00646B37" w:rsidRDefault="000C3242" w:rsidP="007466EA">
      <w:pPr>
        <w:autoSpaceDE w:val="0"/>
        <w:autoSpaceDN w:val="0"/>
        <w:adjustRightInd w:val="0"/>
        <w:spacing w:after="0" w:line="240" w:lineRule="auto"/>
        <w:jc w:val="both"/>
        <w:rPr>
          <w:b/>
        </w:rPr>
      </w:pPr>
      <w:r>
        <w:rPr>
          <w:b/>
        </w:rPr>
        <w:t>Provozní budova</w:t>
      </w:r>
    </w:p>
    <w:p w:rsidR="00AD7A2D" w:rsidRDefault="00AD7A2D" w:rsidP="007466EA">
      <w:pPr>
        <w:autoSpaceDE w:val="0"/>
        <w:autoSpaceDN w:val="0"/>
        <w:adjustRightInd w:val="0"/>
        <w:spacing w:after="0" w:line="240" w:lineRule="auto"/>
        <w:jc w:val="both"/>
      </w:pPr>
      <w:r>
        <w:t>Objekt je v uspokojivém stavebně technickém stavu. Stávající vady a poruchy jsou běžného charakteru odpovídající stáří objektu – drobné poruchy omítek, porušené omítky u terénu apod. Stavba nevykazuje žádné viditelné statické poruchy.</w:t>
      </w:r>
      <w:r w:rsidRPr="00AD7A2D">
        <w:t xml:space="preserve"> </w:t>
      </w:r>
      <w:r>
        <w:t>Zastavěná plocha objektu je 208 m</w:t>
      </w:r>
      <w:r w:rsidRPr="00AD7A2D">
        <w:rPr>
          <w:vertAlign w:val="superscript"/>
        </w:rPr>
        <w:t>2</w:t>
      </w:r>
    </w:p>
    <w:p w:rsidR="00004FD3" w:rsidRDefault="00004FD3" w:rsidP="007466EA">
      <w:pPr>
        <w:autoSpaceDE w:val="0"/>
        <w:autoSpaceDN w:val="0"/>
        <w:adjustRightInd w:val="0"/>
        <w:spacing w:after="0" w:line="240" w:lineRule="auto"/>
        <w:jc w:val="both"/>
      </w:pPr>
    </w:p>
    <w:p w:rsidR="003C4760" w:rsidRDefault="003C4760" w:rsidP="007466EA">
      <w:pPr>
        <w:autoSpaceDE w:val="0"/>
        <w:autoSpaceDN w:val="0"/>
        <w:adjustRightInd w:val="0"/>
        <w:spacing w:after="0" w:line="240" w:lineRule="auto"/>
        <w:jc w:val="both"/>
      </w:pPr>
      <w:r>
        <w:t>Projektová dokumentace řeší tyto stavební úpravy:</w:t>
      </w:r>
    </w:p>
    <w:p w:rsidR="003C4760" w:rsidRDefault="003C4760" w:rsidP="007466EA">
      <w:pPr>
        <w:autoSpaceDE w:val="0"/>
        <w:autoSpaceDN w:val="0"/>
        <w:adjustRightInd w:val="0"/>
        <w:spacing w:after="0" w:line="240" w:lineRule="auto"/>
        <w:jc w:val="both"/>
      </w:pPr>
      <w:r>
        <w:t>- Kompletní zateplení fasád objektu včetně ostění, parapetů a nadpraží</w:t>
      </w:r>
    </w:p>
    <w:p w:rsidR="009D2DEF" w:rsidRDefault="009D2DEF" w:rsidP="007466EA">
      <w:pPr>
        <w:autoSpaceDE w:val="0"/>
        <w:autoSpaceDN w:val="0"/>
        <w:adjustRightInd w:val="0"/>
        <w:spacing w:after="0" w:line="240" w:lineRule="auto"/>
        <w:jc w:val="both"/>
      </w:pPr>
      <w:r>
        <w:t>- Zateplení střechy objektu</w:t>
      </w:r>
    </w:p>
    <w:p w:rsidR="003C4760" w:rsidRDefault="003C4760" w:rsidP="007466EA">
      <w:pPr>
        <w:autoSpaceDE w:val="0"/>
        <w:autoSpaceDN w:val="0"/>
        <w:adjustRightInd w:val="0"/>
        <w:spacing w:after="0" w:line="240" w:lineRule="auto"/>
        <w:jc w:val="both"/>
      </w:pPr>
      <w:r>
        <w:t>- Zateplení stropní konstrukce v 2.NP</w:t>
      </w:r>
    </w:p>
    <w:p w:rsidR="003C4760" w:rsidRDefault="003C4760" w:rsidP="007466EA">
      <w:pPr>
        <w:autoSpaceDE w:val="0"/>
        <w:autoSpaceDN w:val="0"/>
        <w:adjustRightInd w:val="0"/>
        <w:spacing w:after="0" w:line="240" w:lineRule="auto"/>
        <w:jc w:val="both"/>
      </w:pPr>
      <w:r>
        <w:t>- Výměna výplní otvorů fasády (veškerá okna a dveře) včetně parapetů u oken</w:t>
      </w:r>
    </w:p>
    <w:p w:rsidR="003C4760" w:rsidRDefault="003C4760" w:rsidP="007466EA">
      <w:pPr>
        <w:autoSpaceDE w:val="0"/>
        <w:autoSpaceDN w:val="0"/>
        <w:adjustRightInd w:val="0"/>
        <w:spacing w:after="0" w:line="240" w:lineRule="auto"/>
        <w:jc w:val="both"/>
      </w:pPr>
      <w:r>
        <w:t>- Stavební úpravy vnitřních konstrukcí v napojení na měněné nebo stavebními úpravami dotčené konstrukce (příčky, parapety, nadpraží)</w:t>
      </w:r>
    </w:p>
    <w:p w:rsidR="003C4760" w:rsidRDefault="003C4760" w:rsidP="007466EA">
      <w:pPr>
        <w:autoSpaceDE w:val="0"/>
        <w:autoSpaceDN w:val="0"/>
        <w:adjustRightInd w:val="0"/>
        <w:spacing w:after="0" w:line="240" w:lineRule="auto"/>
        <w:jc w:val="both"/>
      </w:pPr>
      <w:r>
        <w:t>- Výměna klempířských výrobků (svody, oplechování, parapety,…)</w:t>
      </w:r>
    </w:p>
    <w:p w:rsidR="003C4760" w:rsidRDefault="003C4760" w:rsidP="007466EA">
      <w:pPr>
        <w:autoSpaceDE w:val="0"/>
        <w:autoSpaceDN w:val="0"/>
        <w:adjustRightInd w:val="0"/>
        <w:spacing w:after="0" w:line="240" w:lineRule="auto"/>
        <w:jc w:val="both"/>
      </w:pPr>
      <w:r>
        <w:t>- Úprava okapových chodníků a zpevněných ploch navazující na zateplované svislé konstrukce</w:t>
      </w:r>
    </w:p>
    <w:p w:rsidR="003C4760" w:rsidRDefault="003C4760" w:rsidP="007466EA">
      <w:pPr>
        <w:autoSpaceDE w:val="0"/>
        <w:autoSpaceDN w:val="0"/>
        <w:adjustRightInd w:val="0"/>
        <w:spacing w:after="0" w:line="240" w:lineRule="auto"/>
        <w:jc w:val="both"/>
      </w:pPr>
      <w:r>
        <w:t>- Dočasné odstranění a zpětná montáž stávajících prvků fasády, příp. posunutí nebo výměna za nové (hromosvod, VZT potrubí, krycí mřížky,…)</w:t>
      </w:r>
    </w:p>
    <w:p w:rsidR="003C4760" w:rsidRDefault="003C4760" w:rsidP="007466EA">
      <w:pPr>
        <w:autoSpaceDE w:val="0"/>
        <w:autoSpaceDN w:val="0"/>
        <w:adjustRightInd w:val="0"/>
        <w:spacing w:after="0" w:line="240" w:lineRule="auto"/>
        <w:jc w:val="both"/>
      </w:pPr>
      <w:r>
        <w:t>- Výmalba a povrchové úpravy v návaznosti na provedené stavební úpravy</w:t>
      </w:r>
    </w:p>
    <w:p w:rsidR="003C4760" w:rsidRDefault="003C4760" w:rsidP="007466EA">
      <w:pPr>
        <w:autoSpaceDE w:val="0"/>
        <w:autoSpaceDN w:val="0"/>
        <w:adjustRightInd w:val="0"/>
        <w:spacing w:after="0" w:line="240" w:lineRule="auto"/>
        <w:jc w:val="both"/>
      </w:pPr>
    </w:p>
    <w:p w:rsidR="00B23941" w:rsidRPr="007466EA" w:rsidRDefault="00B23941" w:rsidP="007466EA">
      <w:pPr>
        <w:autoSpaceDE w:val="0"/>
        <w:autoSpaceDN w:val="0"/>
        <w:adjustRightInd w:val="0"/>
        <w:spacing w:after="0" w:line="240" w:lineRule="auto"/>
        <w:jc w:val="both"/>
        <w:rPr>
          <w:u w:val="single"/>
        </w:rPr>
      </w:pPr>
      <w:r w:rsidRPr="007466EA">
        <w:rPr>
          <w:b/>
          <w:u w:val="single"/>
        </w:rPr>
        <w:t>Architektonické řešení – kompozice tvarového řešení, materiálové a barevné řešení</w:t>
      </w:r>
    </w:p>
    <w:p w:rsidR="00B23941" w:rsidRPr="007466EA" w:rsidRDefault="00B23941" w:rsidP="007466EA">
      <w:pPr>
        <w:autoSpaceDE w:val="0"/>
        <w:autoSpaceDN w:val="0"/>
        <w:adjustRightInd w:val="0"/>
        <w:spacing w:after="0" w:line="240" w:lineRule="auto"/>
        <w:jc w:val="both"/>
        <w:rPr>
          <w:b/>
        </w:rPr>
      </w:pPr>
      <w:r w:rsidRPr="007466EA">
        <w:rPr>
          <w:b/>
        </w:rPr>
        <w:t xml:space="preserve">Kompozice tvarového řešení </w:t>
      </w:r>
    </w:p>
    <w:p w:rsidR="00B23941" w:rsidRDefault="00B23941" w:rsidP="007466EA">
      <w:pPr>
        <w:autoSpaceDE w:val="0"/>
        <w:autoSpaceDN w:val="0"/>
        <w:adjustRightInd w:val="0"/>
        <w:spacing w:after="0" w:line="240" w:lineRule="auto"/>
        <w:jc w:val="both"/>
      </w:pPr>
      <w:r>
        <w:t>Tvarové řešení objektu bude zachováno – jedná se o dvoupodlažní objekt obdélníkového půdorysu se sedlovou střechou v různých výškových úrovních.</w:t>
      </w:r>
    </w:p>
    <w:p w:rsidR="00B23941" w:rsidRPr="007466EA" w:rsidRDefault="00B23941" w:rsidP="007466EA">
      <w:pPr>
        <w:autoSpaceDE w:val="0"/>
        <w:autoSpaceDN w:val="0"/>
        <w:adjustRightInd w:val="0"/>
        <w:spacing w:after="0" w:line="240" w:lineRule="auto"/>
        <w:jc w:val="both"/>
        <w:rPr>
          <w:b/>
        </w:rPr>
      </w:pPr>
      <w:r w:rsidRPr="007466EA">
        <w:rPr>
          <w:b/>
        </w:rPr>
        <w:t xml:space="preserve">Materiálové a barevné řešení </w:t>
      </w:r>
    </w:p>
    <w:p w:rsidR="00B23941" w:rsidRPr="00F36771" w:rsidRDefault="00B23941" w:rsidP="007466EA">
      <w:pPr>
        <w:autoSpaceDE w:val="0"/>
        <w:autoSpaceDN w:val="0"/>
        <w:adjustRightInd w:val="0"/>
        <w:spacing w:after="0" w:line="240" w:lineRule="auto"/>
        <w:jc w:val="both"/>
        <w:rPr>
          <w:u w:val="single"/>
        </w:rPr>
      </w:pPr>
      <w:r w:rsidRPr="00F36771">
        <w:rPr>
          <w:u w:val="single"/>
        </w:rPr>
        <w:t xml:space="preserve">Zateplení fasád objektu </w:t>
      </w:r>
    </w:p>
    <w:p w:rsidR="00B23941" w:rsidRDefault="00B23941" w:rsidP="007466EA">
      <w:pPr>
        <w:autoSpaceDE w:val="0"/>
        <w:autoSpaceDN w:val="0"/>
        <w:adjustRightInd w:val="0"/>
        <w:spacing w:after="0" w:line="240" w:lineRule="auto"/>
        <w:jc w:val="both"/>
      </w:pPr>
      <w:r>
        <w:t>Obvodové stěny objektu budou zatepleny kvalitním certifikovaným VKZS - vnějším kontaktním zateplovacím systémem, tepelně izolační</w:t>
      </w:r>
      <w:r w:rsidR="006D3EE5">
        <w:t xml:space="preserve">m vnějším kompozitním systémem. </w:t>
      </w:r>
      <w:r>
        <w:t>Dodavatelská firma musí prokázat odborné zaškolení svých pracovníků pro aplikaci dle VŘ tohoto certifikovaného zateplovacího systému. Při návrhu a realizaci bude důsledně postupováno podle technických pokynů výrobce systému, které obvykle jsou součástí certifikátu včetně dodržení projekčních pokynů pro provádění detailů napojení navazujících konstrukcí a dodržení zásad modulové koordinace.</w:t>
      </w:r>
    </w:p>
    <w:p w:rsidR="009D2DEF" w:rsidRDefault="009D2DEF" w:rsidP="007466EA">
      <w:pPr>
        <w:autoSpaceDE w:val="0"/>
        <w:autoSpaceDN w:val="0"/>
        <w:adjustRightInd w:val="0"/>
        <w:spacing w:after="0" w:line="240" w:lineRule="auto"/>
        <w:jc w:val="both"/>
      </w:pPr>
    </w:p>
    <w:p w:rsidR="00B23941" w:rsidRDefault="00B23941" w:rsidP="007466EA">
      <w:pPr>
        <w:autoSpaceDE w:val="0"/>
        <w:autoSpaceDN w:val="0"/>
        <w:adjustRightInd w:val="0"/>
        <w:spacing w:after="0" w:line="240" w:lineRule="auto"/>
        <w:jc w:val="both"/>
      </w:pPr>
      <w:r>
        <w:t xml:space="preserve">Fasády objektu budou před zateplením očištěny tlakovou vodou a zbaveny nesoudržných částí, následně bude provedeno doplnění hrubých omítek. Před lepením tepelného izolantu bude stávající podklad </w:t>
      </w:r>
      <w:proofErr w:type="spellStart"/>
      <w:r>
        <w:t>napenetrován</w:t>
      </w:r>
      <w:proofErr w:type="spellEnd"/>
      <w:r>
        <w:t>. Zateplení fasád bude provedeno</w:t>
      </w:r>
      <w:r w:rsidR="006D3EE5">
        <w:t xml:space="preserve"> systémem kontaktního zateplení, </w:t>
      </w:r>
      <w:r>
        <w:t>certifikovaný dle ETAG 004. Systém certifikovaný v kvalitativní třídě A dle Cechu zateplování budov. Zateplení fasád bude založeno v úrovni terénu. Sokl bude zateplen izolací z nenasákavého polystyrenu perimetru tloušťky 160mm se součinitelem tepelné vodivosti λ=0,035W/</w:t>
      </w:r>
      <w:proofErr w:type="spellStart"/>
      <w:r>
        <w:t>m.K</w:t>
      </w:r>
      <w:proofErr w:type="spellEnd"/>
      <w:r>
        <w:t>, sokl bude proveden do úrovně 300 mm nad terénem. Stěny budou zatepleny izolací z fasádního polystyrenu EPS 70 F tloušťky 160 mm se součinitelem tepelné vodivosti λ=0,033W/</w:t>
      </w:r>
      <w:proofErr w:type="spellStart"/>
      <w:r>
        <w:t>m.K</w:t>
      </w:r>
      <w:proofErr w:type="spellEnd"/>
      <w:r>
        <w:t xml:space="preserve">. </w:t>
      </w:r>
    </w:p>
    <w:p w:rsidR="00B23941" w:rsidRDefault="00B23941" w:rsidP="007466EA">
      <w:pPr>
        <w:autoSpaceDE w:val="0"/>
        <w:autoSpaceDN w:val="0"/>
        <w:adjustRightInd w:val="0"/>
        <w:spacing w:after="0" w:line="240" w:lineRule="auto"/>
        <w:jc w:val="both"/>
      </w:pPr>
      <w:r>
        <w:t xml:space="preserve">Tepelná izolace bude kotvena mechanickými kotvami a lepena. Izolace bude opatřena stěrkovou armovací hmotou – perlinkou, penetrací v odstínu omítky a finální silikonovou omítkou. </w:t>
      </w:r>
    </w:p>
    <w:p w:rsidR="001462E9" w:rsidRDefault="001462E9" w:rsidP="007466EA">
      <w:pPr>
        <w:autoSpaceDE w:val="0"/>
        <w:autoSpaceDN w:val="0"/>
        <w:adjustRightInd w:val="0"/>
        <w:spacing w:after="0" w:line="240" w:lineRule="auto"/>
        <w:jc w:val="both"/>
      </w:pPr>
    </w:p>
    <w:p w:rsidR="006D3EE5" w:rsidRDefault="006D3EE5" w:rsidP="007466EA">
      <w:pPr>
        <w:autoSpaceDE w:val="0"/>
        <w:autoSpaceDN w:val="0"/>
        <w:adjustRightInd w:val="0"/>
        <w:spacing w:after="0" w:line="240" w:lineRule="auto"/>
        <w:jc w:val="both"/>
        <w:rPr>
          <w:u w:val="single"/>
        </w:rPr>
      </w:pPr>
    </w:p>
    <w:p w:rsidR="00B23941" w:rsidRPr="00B23941" w:rsidRDefault="00B23941" w:rsidP="007466EA">
      <w:pPr>
        <w:autoSpaceDE w:val="0"/>
        <w:autoSpaceDN w:val="0"/>
        <w:adjustRightInd w:val="0"/>
        <w:spacing w:after="0" w:line="240" w:lineRule="auto"/>
        <w:jc w:val="both"/>
        <w:rPr>
          <w:u w:val="single"/>
        </w:rPr>
      </w:pPr>
      <w:r w:rsidRPr="00B23941">
        <w:rPr>
          <w:u w:val="single"/>
        </w:rPr>
        <w:lastRenderedPageBreak/>
        <w:t xml:space="preserve">Izolace </w:t>
      </w:r>
    </w:p>
    <w:p w:rsidR="00B23941" w:rsidRDefault="00B23941" w:rsidP="007466EA">
      <w:pPr>
        <w:autoSpaceDE w:val="0"/>
        <w:autoSpaceDN w:val="0"/>
        <w:adjustRightInd w:val="0"/>
        <w:spacing w:after="0" w:line="240" w:lineRule="auto"/>
        <w:jc w:val="both"/>
      </w:pPr>
      <w:r>
        <w:t>Zateplovací systém bude proveden tepelnou fasádní izolací EPS s příměsí grafitu s deklarovaným součinitelem tepelné vodivosti min. λ D≤0,033 W/</w:t>
      </w:r>
      <w:proofErr w:type="spellStart"/>
      <w:r>
        <w:t>mK</w:t>
      </w:r>
      <w:proofErr w:type="spellEnd"/>
      <w:r>
        <w:t xml:space="preserve">. Pro zateplení budou použity tloušťky desek 160 mm. Zateplení ostění a nadpraží oken a dveří bude provedeno deskami tloušťky 40 mm. Soklová část bude zateplena tepelnou izolací EPS </w:t>
      </w:r>
      <w:proofErr w:type="spellStart"/>
      <w:r>
        <w:t>Perimeter</w:t>
      </w:r>
      <w:proofErr w:type="spellEnd"/>
      <w:r>
        <w:t xml:space="preserve"> tloušťky 160 mm s deklarovaným součinitelem tepelné vodivosti λ≤0,034 W/</w:t>
      </w:r>
      <w:proofErr w:type="spellStart"/>
      <w:r>
        <w:t>mK</w:t>
      </w:r>
      <w:proofErr w:type="spellEnd"/>
      <w:r>
        <w:t xml:space="preserve">. Zateplení soklu bude probíhat do hloubky 500 mm po úroveň terénu. V průběhu provádění je nutné zamezit průnik vody do izolace, tj. chránit izolant před deštěm a případným zatečením. </w:t>
      </w:r>
    </w:p>
    <w:p w:rsidR="001462E9" w:rsidRDefault="001462E9" w:rsidP="007466EA">
      <w:pPr>
        <w:autoSpaceDE w:val="0"/>
        <w:autoSpaceDN w:val="0"/>
        <w:adjustRightInd w:val="0"/>
        <w:spacing w:after="0" w:line="240" w:lineRule="auto"/>
        <w:jc w:val="both"/>
      </w:pPr>
    </w:p>
    <w:p w:rsidR="00B23941" w:rsidRDefault="00B23941" w:rsidP="007466EA">
      <w:pPr>
        <w:autoSpaceDE w:val="0"/>
        <w:autoSpaceDN w:val="0"/>
        <w:adjustRightInd w:val="0"/>
        <w:spacing w:after="0" w:line="240" w:lineRule="auto"/>
        <w:jc w:val="both"/>
      </w:pPr>
      <w:r w:rsidRPr="00B23941">
        <w:rPr>
          <w:u w:val="single"/>
        </w:rPr>
        <w:t>Kotvení izolace</w:t>
      </w:r>
      <w:r>
        <w:t xml:space="preserve">: Pro desky z EPS budou použity šroubovací hmoždinky se zápustnou montáží a se zaslepením izolační zátkou. V případě malých tlouštěk izolace pod 8 cm, kde není možné použít zápustnou montáž, budou použity </w:t>
      </w:r>
      <w:proofErr w:type="spellStart"/>
      <w:r>
        <w:t>natloukací</w:t>
      </w:r>
      <w:proofErr w:type="spellEnd"/>
      <w:r>
        <w:t xml:space="preserve"> hmoždinky bez bodového prostupu tepla. Tímto způsobem se přeruší tepelné mosty způsobené hmoždinkami a zabrání se prokreslování hmoždinek na povrch omítky.</w:t>
      </w:r>
    </w:p>
    <w:p w:rsidR="00F36771" w:rsidRDefault="00F36771" w:rsidP="007466EA">
      <w:pPr>
        <w:autoSpaceDE w:val="0"/>
        <w:autoSpaceDN w:val="0"/>
        <w:adjustRightInd w:val="0"/>
        <w:spacing w:after="0" w:line="240" w:lineRule="auto"/>
        <w:jc w:val="both"/>
      </w:pPr>
    </w:p>
    <w:p w:rsidR="00F36771" w:rsidRDefault="00F36771" w:rsidP="007466EA">
      <w:pPr>
        <w:autoSpaceDE w:val="0"/>
        <w:autoSpaceDN w:val="0"/>
        <w:adjustRightInd w:val="0"/>
        <w:spacing w:after="0" w:line="240" w:lineRule="auto"/>
        <w:jc w:val="both"/>
      </w:pPr>
      <w:r w:rsidRPr="00F36771">
        <w:rPr>
          <w:u w:val="single"/>
        </w:rPr>
        <w:t>Armovací vrstva</w:t>
      </w:r>
      <w:r>
        <w:t xml:space="preserve">: Pro zajištění mechanické odolnosti a životnosti bude armovací vrstva zateplovacího systému provedena armovací stěrkou vyztuženou vlákny. Do armovacího tmele bude použita armovací síťovina. </w:t>
      </w:r>
    </w:p>
    <w:p w:rsidR="00F36771" w:rsidRDefault="00F36771" w:rsidP="007466EA">
      <w:pPr>
        <w:autoSpaceDE w:val="0"/>
        <w:autoSpaceDN w:val="0"/>
        <w:adjustRightInd w:val="0"/>
        <w:spacing w:after="0" w:line="240" w:lineRule="auto"/>
        <w:jc w:val="both"/>
      </w:pPr>
      <w:r w:rsidRPr="00C9407B">
        <w:rPr>
          <w:u w:val="single"/>
        </w:rPr>
        <w:t>Povrchová úprava</w:t>
      </w:r>
      <w:r>
        <w:t xml:space="preserve">: Silikonová fasádní barva – vysoká difúzní schopnost a vodoodpudivost – fotokatalytický účinek-aktivním samočisticím efektem a zvýšenou ochranou omítky proti primárnímu napadení mikroorganismy (řasami a houbami) – nasákavost W3 (0,06 kg/m2 * h0,5), difuze vodních par V1 </w:t>
      </w:r>
      <w:r w:rsidR="00227130">
        <w:t>.</w:t>
      </w:r>
    </w:p>
    <w:p w:rsidR="00227130" w:rsidRDefault="00227130" w:rsidP="007466EA">
      <w:pPr>
        <w:autoSpaceDE w:val="0"/>
        <w:autoSpaceDN w:val="0"/>
        <w:adjustRightInd w:val="0"/>
        <w:spacing w:after="0" w:line="240" w:lineRule="auto"/>
        <w:jc w:val="both"/>
      </w:pPr>
    </w:p>
    <w:p w:rsidR="00227130" w:rsidRDefault="00F36771" w:rsidP="007466EA">
      <w:pPr>
        <w:autoSpaceDE w:val="0"/>
        <w:autoSpaceDN w:val="0"/>
        <w:adjustRightInd w:val="0"/>
        <w:spacing w:after="0" w:line="240" w:lineRule="auto"/>
        <w:jc w:val="both"/>
      </w:pPr>
      <w:r w:rsidRPr="00F36771">
        <w:rPr>
          <w:u w:val="single"/>
        </w:rPr>
        <w:t>Systémové doplňky</w:t>
      </w:r>
    </w:p>
    <w:p w:rsidR="00F36771" w:rsidRDefault="00F36771" w:rsidP="007466EA">
      <w:pPr>
        <w:autoSpaceDE w:val="0"/>
        <w:autoSpaceDN w:val="0"/>
        <w:adjustRightInd w:val="0"/>
        <w:spacing w:after="0" w:line="240" w:lineRule="auto"/>
        <w:jc w:val="both"/>
      </w:pPr>
      <w:r>
        <w:t>Napojení zateplovacího systému na rámy okenních a dveřních otvorů bude řešeno pomocí systémových lišt dle velikosti okenních a dveřních otvorů. Napojení zateplovacího systému na systémové parapety bude provedeno pomocí komprimačních těsnících pásek, které se aplikují pod parapet a mezi parapet a ostění a zabraňují pronikání vlhkosti a vody do zateplovacího systému. Napojení zateplovacího systému na klempířské parapety bude provedeno pomocí systémové lišty. Tato lišta umožní délkovou dilataci parapetu bez rizika prasklin v zateplovacím systému v okolí parapetu a současně vytváří čistý detail při napojení parapetu na omítku ostění. Napojení klempířských prvků na fasádu bude provedeno pomocí systémové lišty, která umožňuje klempířským prvkům dilatovat vůči zateplovacímu systému a současně vytváří čistý detail v napojení na omítku. V nadpraží oken a dveří bude do zateplovacího systému vložena systémová lišta s okapovou hranou, zabraňující stékající vodě zatékat do nadpraží k rámům oken a dveří.</w:t>
      </w:r>
    </w:p>
    <w:p w:rsidR="00227130" w:rsidRDefault="00227130" w:rsidP="007466EA">
      <w:pPr>
        <w:autoSpaceDE w:val="0"/>
        <w:autoSpaceDN w:val="0"/>
        <w:adjustRightInd w:val="0"/>
        <w:spacing w:after="0" w:line="240" w:lineRule="auto"/>
        <w:jc w:val="both"/>
      </w:pPr>
    </w:p>
    <w:p w:rsidR="00F36771" w:rsidRPr="00F36771" w:rsidRDefault="00F36771" w:rsidP="007466EA">
      <w:pPr>
        <w:autoSpaceDE w:val="0"/>
        <w:autoSpaceDN w:val="0"/>
        <w:adjustRightInd w:val="0"/>
        <w:spacing w:after="0" w:line="240" w:lineRule="auto"/>
        <w:jc w:val="both"/>
        <w:rPr>
          <w:u w:val="single"/>
        </w:rPr>
      </w:pPr>
      <w:r w:rsidRPr="00F36771">
        <w:rPr>
          <w:u w:val="single"/>
        </w:rPr>
        <w:t>Zateplení střešní konstrukce</w:t>
      </w:r>
    </w:p>
    <w:p w:rsidR="00F36771" w:rsidRDefault="00F36771" w:rsidP="007466EA">
      <w:pPr>
        <w:autoSpaceDE w:val="0"/>
        <w:autoSpaceDN w:val="0"/>
        <w:adjustRightInd w:val="0"/>
        <w:spacing w:after="0" w:line="240" w:lineRule="auto"/>
        <w:jc w:val="both"/>
      </w:pPr>
      <w:r>
        <w:t>Stávající střešní krytina bude odstraněna a nahrazena novou plechovou krytinou. Krov zůstane ponechán. Dojde k odstranění podhledu a části stávající tepelné izolace a bude nahrazena novou tepelnou izolací-PIR desky, parotěsná fólie a novou konstrukcí sádrokartonového podhledu. Střechy budou odvádět srážkovou vodu pomocí žlabů a svodů přes lapače splavenin, které jsou napojeny do stávajících přípojek kanalizace objektu. Klempířské práce budou provedeny v souladu s normou ČSN 73 3310. Střešní krytina bude doplněna o bleskosvod – více viz část elektro. Osazení bleskosvodu bude provedeno oprávněnou osobou.</w:t>
      </w:r>
    </w:p>
    <w:p w:rsidR="00227130" w:rsidRDefault="00227130" w:rsidP="007466EA">
      <w:pPr>
        <w:autoSpaceDE w:val="0"/>
        <w:autoSpaceDN w:val="0"/>
        <w:adjustRightInd w:val="0"/>
        <w:spacing w:after="0" w:line="240" w:lineRule="auto"/>
        <w:jc w:val="both"/>
      </w:pPr>
    </w:p>
    <w:p w:rsidR="00F36771" w:rsidRPr="00F36771" w:rsidRDefault="00F36771" w:rsidP="007466EA">
      <w:pPr>
        <w:autoSpaceDE w:val="0"/>
        <w:autoSpaceDN w:val="0"/>
        <w:adjustRightInd w:val="0"/>
        <w:spacing w:after="0" w:line="240" w:lineRule="auto"/>
        <w:jc w:val="both"/>
        <w:rPr>
          <w:u w:val="single"/>
        </w:rPr>
      </w:pPr>
      <w:r w:rsidRPr="00F36771">
        <w:rPr>
          <w:u w:val="single"/>
        </w:rPr>
        <w:t xml:space="preserve">Výplně otvorů </w:t>
      </w:r>
    </w:p>
    <w:p w:rsidR="00F36771" w:rsidRDefault="00F36771" w:rsidP="007466EA">
      <w:pPr>
        <w:autoSpaceDE w:val="0"/>
        <w:autoSpaceDN w:val="0"/>
        <w:adjustRightInd w:val="0"/>
        <w:spacing w:after="0" w:line="240" w:lineRule="auto"/>
        <w:jc w:val="both"/>
      </w:pPr>
      <w:r>
        <w:t xml:space="preserve">Stávající výplně oken a dveří budou nahrazeny plastovými otvory zasklenými </w:t>
      </w:r>
      <w:proofErr w:type="spellStart"/>
      <w:r>
        <w:t>termoizolačním</w:t>
      </w:r>
      <w:proofErr w:type="spellEnd"/>
      <w:r>
        <w:t xml:space="preserve"> trojsklem, </w:t>
      </w:r>
      <w:proofErr w:type="spellStart"/>
      <w:r>
        <w:t>Uw</w:t>
      </w:r>
      <w:proofErr w:type="spellEnd"/>
      <w:r>
        <w:t xml:space="preserve">= </w:t>
      </w:r>
      <w:proofErr w:type="spellStart"/>
      <w:r>
        <w:t>max</w:t>
      </w:r>
      <w:proofErr w:type="spellEnd"/>
      <w:r>
        <w:t xml:space="preserve"> 0,8 W/m</w:t>
      </w:r>
      <w:r w:rsidRPr="009D2DEF">
        <w:rPr>
          <w:vertAlign w:val="superscript"/>
        </w:rPr>
        <w:t>2</w:t>
      </w:r>
      <w:r>
        <w:t xml:space="preserve"> K, U</w:t>
      </w:r>
      <w:r w:rsidRPr="009D2DEF">
        <w:rPr>
          <w:vertAlign w:val="subscript"/>
        </w:rPr>
        <w:t>D</w:t>
      </w:r>
      <w:r>
        <w:t xml:space="preserve">= </w:t>
      </w:r>
      <w:proofErr w:type="spellStart"/>
      <w:r>
        <w:t>max</w:t>
      </w:r>
      <w:proofErr w:type="spellEnd"/>
      <w:r>
        <w:t xml:space="preserve"> 1,0 W/m</w:t>
      </w:r>
      <w:r w:rsidRPr="009D2DEF">
        <w:rPr>
          <w:vertAlign w:val="superscript"/>
        </w:rPr>
        <w:t>2</w:t>
      </w:r>
      <w:r>
        <w:t xml:space="preserve"> K. Otvory v 1NP a 2NP budou opatřena bezpečnostním zasklením – lepené sklo s vloženou fólií. Dále v místnostech sociálního zázemí. U vstupních dveří bude zasklení opatřeno ve výšce v rozmezí 800–1000 a 1400–1600 mm nad podlahou jasně viditelná páska šířky 50 mm, nebo značky 50x50mm po 150 mm Více o specifikaci výplní viz výpis prvků PSV.</w:t>
      </w:r>
    </w:p>
    <w:p w:rsidR="007466EA" w:rsidRDefault="007466EA" w:rsidP="007466EA">
      <w:pPr>
        <w:autoSpaceDE w:val="0"/>
        <w:autoSpaceDN w:val="0"/>
        <w:adjustRightInd w:val="0"/>
        <w:spacing w:after="0" w:line="240" w:lineRule="auto"/>
        <w:jc w:val="both"/>
      </w:pPr>
    </w:p>
    <w:p w:rsidR="009D2DEF" w:rsidRDefault="009D2DEF" w:rsidP="007466EA">
      <w:pPr>
        <w:autoSpaceDE w:val="0"/>
        <w:autoSpaceDN w:val="0"/>
        <w:adjustRightInd w:val="0"/>
        <w:spacing w:after="0" w:line="240" w:lineRule="auto"/>
        <w:jc w:val="both"/>
      </w:pPr>
      <w:r>
        <w:lastRenderedPageBreak/>
        <w:t>Současně v rámci stavebních úprav a výměny otvorů budou vyměněny prosklené sestavy tvořící závětří do budovy, tj. v místech hlavního vstupu.</w:t>
      </w:r>
    </w:p>
    <w:p w:rsidR="009D2DEF" w:rsidRDefault="009D2DEF" w:rsidP="007466EA">
      <w:pPr>
        <w:autoSpaceDE w:val="0"/>
        <w:autoSpaceDN w:val="0"/>
        <w:adjustRightInd w:val="0"/>
        <w:spacing w:after="0" w:line="240" w:lineRule="auto"/>
        <w:jc w:val="both"/>
      </w:pPr>
    </w:p>
    <w:p w:rsidR="009D2DEF" w:rsidRPr="009D2DEF" w:rsidRDefault="009D2DEF" w:rsidP="007466EA">
      <w:pPr>
        <w:autoSpaceDE w:val="0"/>
        <w:autoSpaceDN w:val="0"/>
        <w:adjustRightInd w:val="0"/>
        <w:spacing w:after="0" w:line="240" w:lineRule="auto"/>
        <w:jc w:val="both"/>
        <w:rPr>
          <w:u w:val="single"/>
        </w:rPr>
      </w:pPr>
      <w:r w:rsidRPr="009D2DEF">
        <w:rPr>
          <w:u w:val="single"/>
        </w:rPr>
        <w:t>Úpravy povrchů</w:t>
      </w:r>
    </w:p>
    <w:p w:rsidR="009D2DEF" w:rsidRDefault="009D2DEF" w:rsidP="007466EA">
      <w:pPr>
        <w:autoSpaceDE w:val="0"/>
        <w:autoSpaceDN w:val="0"/>
        <w:adjustRightInd w:val="0"/>
        <w:spacing w:after="0" w:line="240" w:lineRule="auto"/>
        <w:jc w:val="both"/>
      </w:pPr>
      <w:r>
        <w:t>Veškeré dotčené vnitřní prostory budou po provedení stavebních prací zapraveny a nově vymalovány v rozsahu vždy celé dotčené plochy – u zazdívek celá dotčená stěna, u výměny otvorů v dotčených ostěních. U otvorů s ostěním a parapetů upravených keramickým obkladem budou ostění a parapety nově obloženy obkladem stejného rozměru a v barevnosti co nejvíce podobné stávajícímu navazujícímu obkladu.</w:t>
      </w:r>
    </w:p>
    <w:p w:rsidR="009D2DEF" w:rsidRDefault="009D2DEF" w:rsidP="007466EA">
      <w:pPr>
        <w:autoSpaceDE w:val="0"/>
        <w:autoSpaceDN w:val="0"/>
        <w:adjustRightInd w:val="0"/>
        <w:spacing w:after="0" w:line="240" w:lineRule="auto"/>
        <w:jc w:val="both"/>
      </w:pPr>
      <w:r>
        <w:t xml:space="preserve">Silikonová fasádní barva </w:t>
      </w:r>
    </w:p>
    <w:p w:rsidR="009D2DEF" w:rsidRDefault="009D2DEF" w:rsidP="007466EA">
      <w:pPr>
        <w:autoSpaceDE w:val="0"/>
        <w:autoSpaceDN w:val="0"/>
        <w:adjustRightInd w:val="0"/>
        <w:spacing w:after="0" w:line="240" w:lineRule="auto"/>
        <w:jc w:val="both"/>
      </w:pPr>
      <w:r>
        <w:t xml:space="preserve">– vysoká difúzní schopnost a vodoodpudivost </w:t>
      </w:r>
    </w:p>
    <w:p w:rsidR="009D2DEF" w:rsidRDefault="009D2DEF" w:rsidP="007466EA">
      <w:pPr>
        <w:autoSpaceDE w:val="0"/>
        <w:autoSpaceDN w:val="0"/>
        <w:adjustRightInd w:val="0"/>
        <w:spacing w:after="0" w:line="240" w:lineRule="auto"/>
        <w:jc w:val="both"/>
      </w:pPr>
      <w:r>
        <w:t xml:space="preserve">– fotokatalytický účinek-aktivním samočisticím efektem a zvýšenou ochranou omítky proti primárnímu napadení mikroorganismy (řasami a houbami) </w:t>
      </w:r>
    </w:p>
    <w:p w:rsidR="009D2DEF" w:rsidRDefault="009D2DEF" w:rsidP="007466EA">
      <w:pPr>
        <w:autoSpaceDE w:val="0"/>
        <w:autoSpaceDN w:val="0"/>
        <w:adjustRightInd w:val="0"/>
        <w:spacing w:after="0" w:line="240" w:lineRule="auto"/>
        <w:jc w:val="both"/>
      </w:pPr>
      <w:r>
        <w:t xml:space="preserve">– nasákavost W3 (0,06 kg/m2 * h0,5), difuze vodních par V1 </w:t>
      </w:r>
    </w:p>
    <w:p w:rsidR="009D2DEF" w:rsidRDefault="009D2DEF" w:rsidP="007466EA">
      <w:pPr>
        <w:autoSpaceDE w:val="0"/>
        <w:autoSpaceDN w:val="0"/>
        <w:adjustRightInd w:val="0"/>
        <w:spacing w:after="0" w:line="240" w:lineRule="auto"/>
        <w:jc w:val="both"/>
      </w:pPr>
    </w:p>
    <w:p w:rsidR="009D2DEF" w:rsidRDefault="009D2DEF" w:rsidP="007466EA">
      <w:pPr>
        <w:autoSpaceDE w:val="0"/>
        <w:autoSpaceDN w:val="0"/>
        <w:adjustRightInd w:val="0"/>
        <w:spacing w:after="0" w:line="240" w:lineRule="auto"/>
        <w:jc w:val="both"/>
      </w:pPr>
      <w:r>
        <w:t xml:space="preserve">Vzhledem k požadavku na dlouhou odolnost fasády proti biotickému napadení (řasy a plísně) je nutné provést opatření povrchu fasády takovým způsobem, aby byla dodržena požadovaná záruka a garance v délce minimálně 10 let, kterou poskytne investorovi přímo výrobce povrchové úpravy. Výrobce fasádní barvy musí poskytnout investorovi záruku, že po dobu 10 let nedojde ve smyslu ČSN EN 16492 Hodnocení povrchových změn vyvolaných působením plísní a řas na nátěry, dle normativní přílohy A, Posuzování podle EN ISO 4628-1, tabulky A.1, A.2 a A.3, k větším změnám než klasifikace 0-1. </w:t>
      </w:r>
    </w:p>
    <w:p w:rsidR="009D2DEF" w:rsidRDefault="009D2DEF" w:rsidP="007466EA">
      <w:pPr>
        <w:autoSpaceDE w:val="0"/>
        <w:autoSpaceDN w:val="0"/>
        <w:adjustRightInd w:val="0"/>
        <w:spacing w:after="0" w:line="240" w:lineRule="auto"/>
        <w:jc w:val="both"/>
      </w:pPr>
    </w:p>
    <w:p w:rsidR="009D2DEF" w:rsidRPr="009D2DEF" w:rsidRDefault="009D2DEF" w:rsidP="007466EA">
      <w:pPr>
        <w:autoSpaceDE w:val="0"/>
        <w:autoSpaceDN w:val="0"/>
        <w:adjustRightInd w:val="0"/>
        <w:spacing w:after="0" w:line="240" w:lineRule="auto"/>
        <w:jc w:val="both"/>
        <w:rPr>
          <w:u w:val="single"/>
        </w:rPr>
      </w:pPr>
      <w:r w:rsidRPr="009D2DEF">
        <w:rPr>
          <w:u w:val="single"/>
        </w:rPr>
        <w:t xml:space="preserve">Zámečnické výrobky </w:t>
      </w:r>
    </w:p>
    <w:p w:rsidR="009D2DEF" w:rsidRDefault="009D2DEF" w:rsidP="007466EA">
      <w:pPr>
        <w:autoSpaceDE w:val="0"/>
        <w:autoSpaceDN w:val="0"/>
        <w:adjustRightInd w:val="0"/>
        <w:spacing w:after="0" w:line="240" w:lineRule="auto"/>
        <w:jc w:val="both"/>
      </w:pPr>
      <w:r>
        <w:t>Jedná se o výrobky při dotčených zateplovaných plochách, které bude potřeba v návaznosti na stavební úpravy upravit. Jednotlivé výrobky budou upraveny pro možnost provedení zateplovacího systému, případně odsunuty s prodloužením kotevních prvků o tloušťku izolantu.</w:t>
      </w:r>
    </w:p>
    <w:p w:rsidR="009D2DEF" w:rsidRDefault="009D2DEF" w:rsidP="007466EA">
      <w:pPr>
        <w:autoSpaceDE w:val="0"/>
        <w:autoSpaceDN w:val="0"/>
        <w:adjustRightInd w:val="0"/>
        <w:spacing w:after="0" w:line="240" w:lineRule="auto"/>
        <w:jc w:val="both"/>
      </w:pPr>
    </w:p>
    <w:p w:rsidR="009D2DEF" w:rsidRDefault="009D2DEF" w:rsidP="007466EA">
      <w:pPr>
        <w:autoSpaceDE w:val="0"/>
        <w:autoSpaceDN w:val="0"/>
        <w:adjustRightInd w:val="0"/>
        <w:spacing w:after="0" w:line="240" w:lineRule="auto"/>
        <w:jc w:val="both"/>
      </w:pPr>
      <w:r w:rsidRPr="009D2DEF">
        <w:rPr>
          <w:u w:val="single"/>
        </w:rPr>
        <w:t>Klempířské výrobky</w:t>
      </w:r>
      <w:r>
        <w:t xml:space="preserve"> </w:t>
      </w:r>
    </w:p>
    <w:p w:rsidR="00B23941" w:rsidRPr="00004FD3" w:rsidRDefault="009D2DEF" w:rsidP="007466EA">
      <w:pPr>
        <w:autoSpaceDE w:val="0"/>
        <w:autoSpaceDN w:val="0"/>
        <w:adjustRightInd w:val="0"/>
        <w:spacing w:after="0" w:line="240" w:lineRule="auto"/>
        <w:jc w:val="both"/>
      </w:pPr>
      <w:r>
        <w:t xml:space="preserve">Klempířské výrobky budou z materiálu </w:t>
      </w:r>
      <w:proofErr w:type="spellStart"/>
      <w:r>
        <w:t>titanzinek</w:t>
      </w:r>
      <w:proofErr w:type="spellEnd"/>
      <w:r>
        <w:t>. V rámci klempířských prvků budou provedeny oplechování parapetů, nové dešťové svody a kotlíky a oplechování ukončení zateplovacího systému. Detailněji viz výpis klempířských výrobků.</w:t>
      </w:r>
    </w:p>
    <w:p w:rsidR="0084215C" w:rsidRDefault="0084215C" w:rsidP="007466EA">
      <w:pPr>
        <w:spacing w:after="0"/>
        <w:jc w:val="both"/>
        <w:rPr>
          <w:u w:val="single"/>
        </w:rPr>
      </w:pPr>
    </w:p>
    <w:p w:rsidR="0022787C" w:rsidRPr="0022787C" w:rsidRDefault="0022787C" w:rsidP="0022787C">
      <w:pPr>
        <w:spacing w:after="0"/>
        <w:jc w:val="both"/>
        <w:rPr>
          <w:u w:val="single"/>
        </w:rPr>
      </w:pPr>
      <w:r w:rsidRPr="0022787C">
        <w:rPr>
          <w:u w:val="single"/>
        </w:rPr>
        <w:t xml:space="preserve">Vodoinstalace </w:t>
      </w:r>
    </w:p>
    <w:p w:rsidR="0022787C" w:rsidRDefault="0022787C" w:rsidP="0022787C">
      <w:pPr>
        <w:spacing w:after="0"/>
        <w:jc w:val="both"/>
      </w:pPr>
      <w:r>
        <w:t>Objekt je připojen na stávající veřejný vodovod. Vnitřní rozvody vody v rámci stavebních úprav nebudou dotčeny. Stávající beze změn.</w:t>
      </w:r>
    </w:p>
    <w:p w:rsidR="0022787C" w:rsidRDefault="0022787C" w:rsidP="0022787C">
      <w:pPr>
        <w:spacing w:after="0"/>
        <w:jc w:val="both"/>
      </w:pPr>
    </w:p>
    <w:p w:rsidR="0022787C" w:rsidRPr="0022787C" w:rsidRDefault="0022787C" w:rsidP="0022787C">
      <w:pPr>
        <w:spacing w:after="0"/>
        <w:jc w:val="both"/>
        <w:rPr>
          <w:u w:val="single"/>
        </w:rPr>
      </w:pPr>
      <w:r w:rsidRPr="0022787C">
        <w:rPr>
          <w:u w:val="single"/>
        </w:rPr>
        <w:t>Splašková kanalizace</w:t>
      </w:r>
    </w:p>
    <w:p w:rsidR="0022787C" w:rsidRDefault="0022787C" w:rsidP="00ED1352">
      <w:pPr>
        <w:spacing w:after="0"/>
        <w:jc w:val="both"/>
      </w:pPr>
      <w:r>
        <w:t>Zahrnuje provedení úpravy odvětrávací části splaškové kanalizace v prostoru nad střešní konstrukcí včetně nově osazených odvětrávacích komínků v souladu s navrženým střešním pláštěm – zateplením. Provedení odvětrávací části kanalizačního potrubí bude provedeno v souladu s ČSN EN 12056 – 1-5 a souvisejících. Před realizací budou ověřeny rozměry a stav stávajícího kanalizačního potrubí a stavební konstrukce. Samotný postup realizace a technické řešení bude odsouhlaseno v rámci autorského dozoru.</w:t>
      </w:r>
    </w:p>
    <w:p w:rsidR="00ED1352" w:rsidRDefault="00ED1352" w:rsidP="00ED1352">
      <w:pPr>
        <w:spacing w:after="0"/>
        <w:jc w:val="both"/>
      </w:pPr>
    </w:p>
    <w:p w:rsidR="0022787C" w:rsidRPr="0022787C" w:rsidRDefault="0022787C" w:rsidP="00C9407B">
      <w:pPr>
        <w:spacing w:after="0"/>
        <w:jc w:val="both"/>
        <w:rPr>
          <w:u w:val="single"/>
        </w:rPr>
      </w:pPr>
      <w:r w:rsidRPr="0022787C">
        <w:rPr>
          <w:u w:val="single"/>
        </w:rPr>
        <w:t xml:space="preserve">Dešťová kanalizace </w:t>
      </w:r>
    </w:p>
    <w:p w:rsidR="0022787C" w:rsidRDefault="0022787C" w:rsidP="00C9407B">
      <w:pPr>
        <w:spacing w:after="0"/>
        <w:jc w:val="both"/>
      </w:pPr>
      <w:r>
        <w:t>Střechy budou odvádět srážkovou vodu pomocí nově navržených žlabů a svodů přes stávající lapače splavenin, které budou pootočeny a napojeny do stávajících přípojek dešťové kanalizace objektu.</w:t>
      </w:r>
    </w:p>
    <w:p w:rsidR="006D3EE5" w:rsidRDefault="006D3EE5" w:rsidP="0065153F">
      <w:pPr>
        <w:spacing w:after="0"/>
        <w:jc w:val="both"/>
        <w:rPr>
          <w:u w:val="single"/>
        </w:rPr>
      </w:pPr>
    </w:p>
    <w:p w:rsidR="006D3EE5" w:rsidRDefault="006D3EE5" w:rsidP="0065153F">
      <w:pPr>
        <w:spacing w:after="0"/>
        <w:jc w:val="both"/>
        <w:rPr>
          <w:u w:val="single"/>
        </w:rPr>
      </w:pPr>
    </w:p>
    <w:p w:rsidR="006D3EE5" w:rsidRDefault="006D3EE5" w:rsidP="0065153F">
      <w:pPr>
        <w:spacing w:after="0"/>
        <w:jc w:val="both"/>
        <w:rPr>
          <w:u w:val="single"/>
        </w:rPr>
      </w:pPr>
    </w:p>
    <w:p w:rsidR="0022787C" w:rsidRPr="0065153F" w:rsidRDefault="0022787C" w:rsidP="0065153F">
      <w:pPr>
        <w:spacing w:after="0"/>
        <w:jc w:val="both"/>
        <w:rPr>
          <w:u w:val="single"/>
        </w:rPr>
      </w:pPr>
      <w:r w:rsidRPr="0065153F">
        <w:rPr>
          <w:u w:val="single"/>
        </w:rPr>
        <w:t xml:space="preserve">Zásobování plynem </w:t>
      </w:r>
    </w:p>
    <w:p w:rsidR="00C9407B" w:rsidRDefault="0022787C" w:rsidP="0065153F">
      <w:pPr>
        <w:spacing w:after="0"/>
        <w:jc w:val="both"/>
      </w:pPr>
      <w:r>
        <w:t xml:space="preserve">Nově nebude objekt napojen </w:t>
      </w:r>
      <w:r w:rsidRPr="005F374B">
        <w:t>na rozvod plynu</w:t>
      </w:r>
      <w:r w:rsidR="005F374B">
        <w:t xml:space="preserve"> </w:t>
      </w:r>
      <w:r w:rsidR="005F374B" w:rsidRPr="00A60C09">
        <w:t>v plynových nádržích</w:t>
      </w:r>
      <w:r w:rsidRPr="005F374B">
        <w:t xml:space="preserve">. </w:t>
      </w:r>
      <w:r>
        <w:t>Stávající nádrže budou stavebníkem o</w:t>
      </w:r>
      <w:r w:rsidR="005F374B">
        <w:t>dstraněny mimo tuto akci a rozvo</w:t>
      </w:r>
      <w:r>
        <w:t xml:space="preserve">d pod úrovní terénu ponechán. Odstraněna pouze nadzemní část v napojení na objekt. </w:t>
      </w:r>
    </w:p>
    <w:p w:rsidR="00C9407B" w:rsidRDefault="00C9407B" w:rsidP="0065153F">
      <w:pPr>
        <w:spacing w:after="0"/>
        <w:jc w:val="both"/>
      </w:pPr>
    </w:p>
    <w:p w:rsidR="00C9407B" w:rsidRDefault="0022787C" w:rsidP="0065153F">
      <w:pPr>
        <w:spacing w:after="0"/>
        <w:jc w:val="both"/>
      </w:pPr>
      <w:r w:rsidRPr="00ED1352">
        <w:rPr>
          <w:u w:val="single"/>
        </w:rPr>
        <w:t>Zásobování teplem</w:t>
      </w:r>
      <w:r>
        <w:t xml:space="preserve"> </w:t>
      </w:r>
    </w:p>
    <w:p w:rsidR="0022787C" w:rsidRDefault="0022787C" w:rsidP="0065153F">
      <w:pPr>
        <w:spacing w:after="0"/>
        <w:jc w:val="both"/>
      </w:pPr>
      <w:r>
        <w:t xml:space="preserve">Stávající objekt je vytápěn plynovým kotlem + doplňkovým elektro kotlem. Teplo je distribuováno pomocí stávajících těles. </w:t>
      </w:r>
    </w:p>
    <w:p w:rsidR="0065153F" w:rsidRDefault="0022787C" w:rsidP="0065153F">
      <w:pPr>
        <w:spacing w:after="0"/>
        <w:jc w:val="both"/>
      </w:pPr>
      <w:r>
        <w:t xml:space="preserve">V rámci stavebních úprav dojde k výměně stávajících kotlů za TČ. V rámci nového zdroje bude provedena úprava za TČ v napojení na stávající otopnou soustavou s celkovým vyregulováním otopné soustavy – topných těles. </w:t>
      </w:r>
    </w:p>
    <w:p w:rsidR="0065153F" w:rsidRDefault="0065153F" w:rsidP="0065153F">
      <w:pPr>
        <w:spacing w:after="0"/>
        <w:jc w:val="both"/>
      </w:pPr>
    </w:p>
    <w:p w:rsidR="0065153F" w:rsidRPr="0065153F" w:rsidRDefault="0022787C" w:rsidP="0065153F">
      <w:pPr>
        <w:spacing w:after="0"/>
        <w:jc w:val="both"/>
        <w:rPr>
          <w:u w:val="single"/>
        </w:rPr>
      </w:pPr>
      <w:r w:rsidRPr="0065153F">
        <w:rPr>
          <w:u w:val="single"/>
        </w:rPr>
        <w:t xml:space="preserve">Ohřev TUV </w:t>
      </w:r>
    </w:p>
    <w:p w:rsidR="0022787C" w:rsidRDefault="0022787C" w:rsidP="0065153F">
      <w:pPr>
        <w:spacing w:after="0"/>
        <w:jc w:val="both"/>
        <w:rPr>
          <w:u w:val="single"/>
        </w:rPr>
      </w:pPr>
      <w:r>
        <w:t xml:space="preserve">Ohřev TUV je nyní řešen elektrickým bojlerem s objemem 200 l, který bude odstraněn a TUV bude nově ohřívána nově umisťovaným TČ. Elektroinstalace Ve všech místnostech budou demontována svítidla a nahrazena novými LED ve stávajícím rozsahu. Dále se v rámci elektroinstalace řeší nový hromosvod a nutné stavební </w:t>
      </w:r>
      <w:proofErr w:type="spellStart"/>
      <w:r>
        <w:t>přípomoci</w:t>
      </w:r>
      <w:proofErr w:type="spellEnd"/>
      <w:r>
        <w:t xml:space="preserve"> v rámci umístění nového TČ (zdroje vytápění) a přemisťovaných prvků na fasádě napojených na elektroinstalaci objektu.</w:t>
      </w:r>
    </w:p>
    <w:p w:rsidR="00271502" w:rsidRDefault="00271502" w:rsidP="007466EA">
      <w:pPr>
        <w:jc w:val="both"/>
        <w:rPr>
          <w:u w:val="single"/>
        </w:rPr>
      </w:pPr>
    </w:p>
    <w:p w:rsidR="0065153F" w:rsidRDefault="0065153F" w:rsidP="0065153F">
      <w:pPr>
        <w:jc w:val="both"/>
        <w:rPr>
          <w:b/>
          <w:u w:val="single"/>
        </w:rPr>
      </w:pPr>
      <w:r w:rsidRPr="0065153F">
        <w:rPr>
          <w:b/>
          <w:u w:val="single"/>
        </w:rPr>
        <w:t>Ostatní požadavky:</w:t>
      </w:r>
    </w:p>
    <w:p w:rsidR="001462E9" w:rsidRDefault="001462E9" w:rsidP="007466EA">
      <w:pPr>
        <w:jc w:val="both"/>
      </w:pPr>
      <w:r>
        <w:t>Při provádění stavebních prací a obsluze zařízení je nutno dodržovat požadavky bezpečnosti a ochrany zdraví při práci dle zákona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a jeho provádění dle nařízení vlády 591/2006 Sb. o bližších minimálních požadavcích na bezpečnost a ochranu zdraví při práci na staveništích. Podrobněji viz popis v souhrnných částech.</w:t>
      </w:r>
    </w:p>
    <w:p w:rsidR="00940DEB" w:rsidRPr="00ED1352" w:rsidRDefault="00DA5D21" w:rsidP="007466EA">
      <w:pPr>
        <w:jc w:val="both"/>
      </w:pPr>
      <w:r>
        <w:t>S odpady, které vzniknou během stavby, bude nakládáno ve smyslu §9a hierarchie způsobu nakládání s odpady zákona č. 185/2001 Sb. (novela zákona č.154/2010 Sb.), kdy skládka je až ta poslední možnost. V případě, že odpad nebude moci být zpětně využit, doporučuje se využít povolená zařízení provozovaná dle §14 odst. 1 a 2 zákona č. 185/2001 Sb., o odpadech a změně některých dalších zákonů, ve znění pozdějších předpisů. Stavební odpady vzniklé při výstavbě budou na stavbě tříděny dle jednotlivých druhů a likvidovány prostřednictvím firmy mající oprávnění k této činnosti, přednostně recyklací. Dodavatel stavby si bude plnit povinnosti původce odpadů podle §16 zákona o odpadech včetně prováděcích právních předpisů. Při provozu objektu nebude vznikat žádný nebezpečný odpad. V objektu bude produkován pouze běžný komunální odpad, se kterým bude nakládáno dle novely zákona č.169/2013 Sb. zákona č. 185/2001 Sb. a vyhlášky č. 383/2001 Sb. Pro odpad budou používány uzavřené nádoby.</w:t>
      </w:r>
    </w:p>
    <w:p w:rsidR="00E704AA" w:rsidRDefault="00E704AA" w:rsidP="007466EA">
      <w:pPr>
        <w:jc w:val="both"/>
        <w:rPr>
          <w:u w:val="single"/>
        </w:rPr>
      </w:pPr>
      <w:r>
        <w:rPr>
          <w:u w:val="single"/>
        </w:rPr>
        <w:t>V případě, že nastanou klimaticky nevhodné podmínky pro provádění stavby, které nebudou v souladu s technologickými předpisy</w:t>
      </w:r>
      <w:r w:rsidR="008C2F06">
        <w:rPr>
          <w:u w:val="single"/>
        </w:rPr>
        <w:t xml:space="preserve"> p</w:t>
      </w:r>
      <w:r w:rsidR="00B37BD0">
        <w:rPr>
          <w:u w:val="single"/>
        </w:rPr>
        <w:t>lánovaných</w:t>
      </w:r>
      <w:r w:rsidR="008C2F06">
        <w:rPr>
          <w:u w:val="single"/>
        </w:rPr>
        <w:t xml:space="preserve"> prací</w:t>
      </w:r>
      <w:r>
        <w:rPr>
          <w:u w:val="single"/>
        </w:rPr>
        <w:t>, budou po dohodě zhotovitele a TDS práce přerušeny na dobu nezbytně nutnou a bude o tom proveden zápis ve stavebním deníku.</w:t>
      </w:r>
    </w:p>
    <w:p w:rsidR="00296832" w:rsidRDefault="00296832" w:rsidP="007466EA">
      <w:pPr>
        <w:jc w:val="both"/>
        <w:rPr>
          <w:b/>
          <w:u w:val="single"/>
        </w:rPr>
      </w:pPr>
    </w:p>
    <w:p w:rsidR="005F374B" w:rsidRDefault="005F374B" w:rsidP="007466EA">
      <w:pPr>
        <w:jc w:val="both"/>
        <w:rPr>
          <w:b/>
          <w:u w:val="single"/>
        </w:rPr>
      </w:pPr>
    </w:p>
    <w:p w:rsidR="005F374B" w:rsidRPr="00296832" w:rsidRDefault="005F374B" w:rsidP="007466EA">
      <w:pPr>
        <w:jc w:val="both"/>
        <w:rPr>
          <w:b/>
          <w:u w:val="single"/>
        </w:rPr>
      </w:pPr>
    </w:p>
    <w:p w:rsidR="00D02F23" w:rsidRPr="0037329F" w:rsidRDefault="004512EF" w:rsidP="007466EA">
      <w:pPr>
        <w:jc w:val="both"/>
        <w:rPr>
          <w:highlight w:val="yellow"/>
          <w:u w:val="single"/>
        </w:rPr>
      </w:pPr>
      <w:r w:rsidRPr="00D720EF">
        <w:rPr>
          <w:u w:val="single"/>
        </w:rPr>
        <w:t>Z</w:t>
      </w:r>
      <w:r w:rsidR="00D02F23" w:rsidRPr="00D720EF">
        <w:rPr>
          <w:u w:val="single"/>
        </w:rPr>
        <w:t>adávací podklady</w:t>
      </w:r>
      <w:r w:rsidR="00466994" w:rsidRPr="00D720EF">
        <w:rPr>
          <w:u w:val="single"/>
        </w:rPr>
        <w:t>:</w:t>
      </w:r>
    </w:p>
    <w:p w:rsidR="00D02F23" w:rsidRPr="00D720EF" w:rsidRDefault="001670FB" w:rsidP="007466EA">
      <w:pPr>
        <w:spacing w:after="0"/>
        <w:jc w:val="both"/>
      </w:pPr>
      <w:r w:rsidRPr="00D720EF">
        <w:t>Požadavky pro</w:t>
      </w:r>
      <w:r w:rsidR="00D02F23" w:rsidRPr="00D720EF">
        <w:t xml:space="preserve"> </w:t>
      </w:r>
      <w:r w:rsidRPr="00D720EF">
        <w:t>re</w:t>
      </w:r>
      <w:r w:rsidR="00536168" w:rsidRPr="00D720EF">
        <w:t>a</w:t>
      </w:r>
      <w:r w:rsidRPr="00D720EF">
        <w:t>lizaci</w:t>
      </w:r>
      <w:r w:rsidR="00D02F23" w:rsidRPr="00D720EF">
        <w:t xml:space="preserve"> jsou </w:t>
      </w:r>
      <w:r w:rsidRPr="00D720EF">
        <w:t xml:space="preserve">blíže </w:t>
      </w:r>
      <w:r w:rsidR="00D02F23" w:rsidRPr="00D720EF">
        <w:t xml:space="preserve">specifikovány v projektové dokumentaci, kterou </w:t>
      </w:r>
      <w:r w:rsidR="00085598" w:rsidRPr="00D720EF">
        <w:t xml:space="preserve">spolu se soupisem prací </w:t>
      </w:r>
      <w:r w:rsidR="00D720EF">
        <w:t>vypracoval</w:t>
      </w:r>
      <w:r w:rsidR="00D720EF" w:rsidRPr="00D720EF">
        <w:t xml:space="preserve">a firma </w:t>
      </w:r>
      <w:r w:rsidR="00936E40">
        <w:t xml:space="preserve">PANTA-Š, spol. s.r.o., </w:t>
      </w:r>
      <w:r w:rsidR="00D720EF" w:rsidRPr="00D720EF">
        <w:t xml:space="preserve">IČO </w:t>
      </w:r>
      <w:r w:rsidR="00936E40">
        <w:t>25816985</w:t>
      </w:r>
      <w:r w:rsidR="00D720EF" w:rsidRPr="00D720EF">
        <w:t>,</w:t>
      </w:r>
      <w:r w:rsidR="00936E40">
        <w:t xml:space="preserve"> Ing. Miroslav Vobr v roce 2024</w:t>
      </w:r>
      <w:r w:rsidR="00D720EF" w:rsidRPr="00D720EF">
        <w:t>.</w:t>
      </w:r>
    </w:p>
    <w:p w:rsidR="00D02F23" w:rsidRPr="00D720EF" w:rsidRDefault="00D02F23" w:rsidP="007466EA">
      <w:pPr>
        <w:jc w:val="both"/>
        <w:rPr>
          <w:bCs/>
          <w:iCs/>
        </w:rPr>
      </w:pPr>
      <w:r w:rsidRPr="00D720EF">
        <w:rPr>
          <w:bCs/>
          <w:iCs/>
        </w:rPr>
        <w:tab/>
      </w:r>
      <w:r w:rsidRPr="00D720EF">
        <w:rPr>
          <w:bCs/>
          <w:iCs/>
        </w:rPr>
        <w:tab/>
      </w:r>
      <w:r w:rsidRPr="00D720EF">
        <w:rPr>
          <w:bCs/>
          <w:iCs/>
        </w:rPr>
        <w:tab/>
      </w:r>
      <w:r w:rsidRPr="00D720EF">
        <w:rPr>
          <w:bCs/>
          <w:iCs/>
        </w:rPr>
        <w:tab/>
      </w:r>
      <w:r w:rsidRPr="00D720EF">
        <w:rPr>
          <w:bCs/>
          <w:iCs/>
        </w:rPr>
        <w:tab/>
      </w:r>
      <w:r w:rsidRPr="00D720EF">
        <w:rPr>
          <w:bCs/>
          <w:iCs/>
        </w:rPr>
        <w:tab/>
      </w:r>
    </w:p>
    <w:p w:rsidR="00575BA9" w:rsidRDefault="00575BA9" w:rsidP="007466EA">
      <w:pPr>
        <w:jc w:val="both"/>
        <w:rPr>
          <w:bCs/>
          <w:iCs/>
        </w:rPr>
      </w:pPr>
    </w:p>
    <w:p w:rsidR="00FC5520" w:rsidRDefault="00D02F23" w:rsidP="007466EA">
      <w:pPr>
        <w:jc w:val="both"/>
        <w:rPr>
          <w:bCs/>
          <w:iCs/>
        </w:rPr>
      </w:pPr>
      <w:r w:rsidRPr="0037329F">
        <w:rPr>
          <w:bCs/>
          <w:iCs/>
        </w:rPr>
        <w:t xml:space="preserve">Předpokládaný termín zahájení prací </w:t>
      </w:r>
      <w:r w:rsidR="00FC5520">
        <w:rPr>
          <w:bCs/>
          <w:iCs/>
        </w:rPr>
        <w:tab/>
      </w:r>
      <w:r w:rsidR="00FC5520">
        <w:rPr>
          <w:bCs/>
          <w:iCs/>
        </w:rPr>
        <w:tab/>
      </w:r>
      <w:r w:rsidR="00FC5520">
        <w:rPr>
          <w:bCs/>
          <w:iCs/>
        </w:rPr>
        <w:tab/>
      </w:r>
      <w:r w:rsidR="00FC5520">
        <w:rPr>
          <w:bCs/>
          <w:iCs/>
        </w:rPr>
        <w:tab/>
      </w:r>
      <w:r w:rsidR="00FC5520">
        <w:rPr>
          <w:bCs/>
          <w:iCs/>
        </w:rPr>
        <w:tab/>
      </w:r>
      <w:r w:rsidR="005F374B">
        <w:rPr>
          <w:bCs/>
          <w:iCs/>
        </w:rPr>
        <w:t>06/</w:t>
      </w:r>
      <w:r w:rsidR="00AD7A2D">
        <w:rPr>
          <w:bCs/>
          <w:iCs/>
        </w:rPr>
        <w:t>2025</w:t>
      </w:r>
    </w:p>
    <w:p w:rsidR="005C2DAF" w:rsidRPr="0037329F" w:rsidRDefault="00AD7A2D" w:rsidP="007466EA">
      <w:pPr>
        <w:jc w:val="both"/>
        <w:rPr>
          <w:bCs/>
          <w:iCs/>
        </w:rPr>
      </w:pPr>
      <w:r>
        <w:rPr>
          <w:bCs/>
          <w:iCs/>
        </w:rPr>
        <w:t>Lhůta výstavby:</w:t>
      </w:r>
      <w:r>
        <w:rPr>
          <w:bCs/>
          <w:iCs/>
        </w:rPr>
        <w:tab/>
      </w:r>
      <w:r>
        <w:rPr>
          <w:bCs/>
          <w:iCs/>
        </w:rPr>
        <w:tab/>
      </w:r>
      <w:r>
        <w:rPr>
          <w:bCs/>
          <w:iCs/>
        </w:rPr>
        <w:tab/>
      </w:r>
      <w:r>
        <w:rPr>
          <w:bCs/>
          <w:iCs/>
        </w:rPr>
        <w:tab/>
      </w:r>
      <w:r>
        <w:rPr>
          <w:bCs/>
          <w:iCs/>
        </w:rPr>
        <w:tab/>
      </w:r>
      <w:r>
        <w:rPr>
          <w:bCs/>
          <w:iCs/>
        </w:rPr>
        <w:tab/>
      </w:r>
      <w:r>
        <w:rPr>
          <w:bCs/>
          <w:iCs/>
        </w:rPr>
        <w:tab/>
      </w:r>
      <w:r>
        <w:rPr>
          <w:bCs/>
          <w:iCs/>
        </w:rPr>
        <w:tab/>
      </w:r>
      <w:r w:rsidR="006D3EE5" w:rsidRPr="006D3EE5">
        <w:rPr>
          <w:bCs/>
          <w:iCs/>
        </w:rPr>
        <w:t>6</w:t>
      </w:r>
      <w:r w:rsidR="005C2DAF" w:rsidRPr="006D3EE5">
        <w:rPr>
          <w:bCs/>
          <w:iCs/>
        </w:rPr>
        <w:t xml:space="preserve"> měsíců</w:t>
      </w:r>
    </w:p>
    <w:p w:rsidR="00D02F23" w:rsidRDefault="001A52AD" w:rsidP="007466EA">
      <w:pPr>
        <w:jc w:val="both"/>
        <w:rPr>
          <w:bCs/>
          <w:iCs/>
        </w:rPr>
      </w:pPr>
      <w:r w:rsidRPr="0037329F">
        <w:rPr>
          <w:bCs/>
          <w:iCs/>
        </w:rPr>
        <w:t>Záruční lhůta na dílo</w:t>
      </w:r>
      <w:r w:rsidRPr="0037329F">
        <w:rPr>
          <w:bCs/>
          <w:iCs/>
        </w:rPr>
        <w:tab/>
      </w:r>
      <w:r w:rsidRPr="0037329F">
        <w:rPr>
          <w:bCs/>
          <w:iCs/>
        </w:rPr>
        <w:tab/>
      </w:r>
      <w:r w:rsidRPr="0037329F">
        <w:rPr>
          <w:bCs/>
          <w:iCs/>
        </w:rPr>
        <w:tab/>
      </w:r>
      <w:r w:rsidRPr="0037329F">
        <w:rPr>
          <w:bCs/>
          <w:iCs/>
        </w:rPr>
        <w:tab/>
      </w:r>
      <w:r w:rsidRPr="0037329F">
        <w:rPr>
          <w:bCs/>
          <w:iCs/>
        </w:rPr>
        <w:tab/>
      </w:r>
      <w:r w:rsidRPr="0037329F">
        <w:rPr>
          <w:bCs/>
          <w:iCs/>
        </w:rPr>
        <w:tab/>
      </w:r>
      <w:r w:rsidRPr="0037329F">
        <w:rPr>
          <w:bCs/>
          <w:iCs/>
        </w:rPr>
        <w:tab/>
      </w:r>
      <w:r w:rsidR="00D02F23" w:rsidRPr="0037329F">
        <w:rPr>
          <w:bCs/>
          <w:iCs/>
        </w:rPr>
        <w:t>60 měsíců</w:t>
      </w:r>
    </w:p>
    <w:p w:rsidR="005F374B" w:rsidRPr="001A52AD" w:rsidRDefault="005F374B" w:rsidP="007466EA">
      <w:pPr>
        <w:jc w:val="both"/>
        <w:rPr>
          <w:bCs/>
          <w:iCs/>
        </w:rPr>
      </w:pPr>
      <w:r>
        <w:rPr>
          <w:bCs/>
          <w:iCs/>
        </w:rPr>
        <w:t xml:space="preserve">Záruční lhůta na </w:t>
      </w:r>
      <w:r w:rsidR="006D3EE5">
        <w:rPr>
          <w:bCs/>
          <w:iCs/>
        </w:rPr>
        <w:t>fasádu</w:t>
      </w:r>
      <w:r w:rsidR="006D3EE5">
        <w:rPr>
          <w:bCs/>
          <w:iCs/>
        </w:rPr>
        <w:tab/>
      </w:r>
      <w:r w:rsidR="006D3EE5">
        <w:rPr>
          <w:bCs/>
          <w:iCs/>
        </w:rPr>
        <w:tab/>
      </w:r>
      <w:r w:rsidR="006D3EE5">
        <w:rPr>
          <w:bCs/>
          <w:iCs/>
        </w:rPr>
        <w:tab/>
      </w:r>
      <w:r w:rsidR="006D3EE5">
        <w:rPr>
          <w:bCs/>
          <w:iCs/>
        </w:rPr>
        <w:tab/>
      </w:r>
      <w:r w:rsidR="006D3EE5">
        <w:rPr>
          <w:bCs/>
          <w:iCs/>
        </w:rPr>
        <w:tab/>
      </w:r>
      <w:r w:rsidR="006D3EE5">
        <w:rPr>
          <w:bCs/>
          <w:iCs/>
        </w:rPr>
        <w:tab/>
      </w:r>
      <w:r w:rsidR="006D3EE5">
        <w:rPr>
          <w:bCs/>
          <w:iCs/>
        </w:rPr>
        <w:tab/>
        <w:t>120 měsíců</w:t>
      </w:r>
    </w:p>
    <w:p w:rsidR="00C9332A" w:rsidRPr="00C9332A" w:rsidRDefault="00C9332A" w:rsidP="00C9332A"/>
    <w:p w:rsidR="00C9332A" w:rsidRPr="005A3E38" w:rsidRDefault="00C9332A" w:rsidP="00B72914">
      <w:pPr>
        <w:rPr>
          <w:rFonts w:ascii="Arial" w:hAnsi="Arial" w:cs="Arial"/>
        </w:rPr>
      </w:pPr>
    </w:p>
    <w:p w:rsidR="004E67F6" w:rsidRDefault="004E67F6"/>
    <w:sectPr w:rsidR="004E67F6" w:rsidSect="00940DEB">
      <w:pgSz w:w="11906" w:h="16838"/>
      <w:pgMar w:top="1417" w:right="1417" w:bottom="1417" w:left="1417"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67F6"/>
    <w:rsid w:val="00004FD3"/>
    <w:rsid w:val="00010D43"/>
    <w:rsid w:val="00064D04"/>
    <w:rsid w:val="00085598"/>
    <w:rsid w:val="000B0D7B"/>
    <w:rsid w:val="000C3242"/>
    <w:rsid w:val="000E4F14"/>
    <w:rsid w:val="0010375B"/>
    <w:rsid w:val="0011004A"/>
    <w:rsid w:val="001462E9"/>
    <w:rsid w:val="001670FB"/>
    <w:rsid w:val="00167B6E"/>
    <w:rsid w:val="00191D81"/>
    <w:rsid w:val="001A52AD"/>
    <w:rsid w:val="001A6EDB"/>
    <w:rsid w:val="001D10FB"/>
    <w:rsid w:val="001D4E78"/>
    <w:rsid w:val="00227130"/>
    <w:rsid w:val="0022787C"/>
    <w:rsid w:val="00271502"/>
    <w:rsid w:val="00296832"/>
    <w:rsid w:val="003424E3"/>
    <w:rsid w:val="0037329F"/>
    <w:rsid w:val="003920B4"/>
    <w:rsid w:val="003C4760"/>
    <w:rsid w:val="003F44C1"/>
    <w:rsid w:val="004512EF"/>
    <w:rsid w:val="00452672"/>
    <w:rsid w:val="00466994"/>
    <w:rsid w:val="00466BC8"/>
    <w:rsid w:val="00477E1B"/>
    <w:rsid w:val="00490881"/>
    <w:rsid w:val="004A08C4"/>
    <w:rsid w:val="004A3CF2"/>
    <w:rsid w:val="004C1A0B"/>
    <w:rsid w:val="004E67F6"/>
    <w:rsid w:val="00536168"/>
    <w:rsid w:val="00575BA9"/>
    <w:rsid w:val="005C2DAF"/>
    <w:rsid w:val="005F374B"/>
    <w:rsid w:val="00646B37"/>
    <w:rsid w:val="0065153F"/>
    <w:rsid w:val="00653DE0"/>
    <w:rsid w:val="006D3EE5"/>
    <w:rsid w:val="0072096D"/>
    <w:rsid w:val="007466EA"/>
    <w:rsid w:val="007C4848"/>
    <w:rsid w:val="007E3FC6"/>
    <w:rsid w:val="00800806"/>
    <w:rsid w:val="0084215C"/>
    <w:rsid w:val="0089160F"/>
    <w:rsid w:val="008C2F06"/>
    <w:rsid w:val="008E716A"/>
    <w:rsid w:val="00936E40"/>
    <w:rsid w:val="00940DEB"/>
    <w:rsid w:val="009478A9"/>
    <w:rsid w:val="009823C3"/>
    <w:rsid w:val="00985F69"/>
    <w:rsid w:val="009D2DEF"/>
    <w:rsid w:val="009F5B5E"/>
    <w:rsid w:val="009F632F"/>
    <w:rsid w:val="00A60C09"/>
    <w:rsid w:val="00A94549"/>
    <w:rsid w:val="00AA0382"/>
    <w:rsid w:val="00AB31E4"/>
    <w:rsid w:val="00AD7A2D"/>
    <w:rsid w:val="00AF0BAC"/>
    <w:rsid w:val="00B23941"/>
    <w:rsid w:val="00B37BD0"/>
    <w:rsid w:val="00B6015F"/>
    <w:rsid w:val="00B72914"/>
    <w:rsid w:val="00C16973"/>
    <w:rsid w:val="00C9332A"/>
    <w:rsid w:val="00C9407B"/>
    <w:rsid w:val="00D02F23"/>
    <w:rsid w:val="00D720EF"/>
    <w:rsid w:val="00DA5D21"/>
    <w:rsid w:val="00DC0081"/>
    <w:rsid w:val="00E704AA"/>
    <w:rsid w:val="00E7229A"/>
    <w:rsid w:val="00EC0589"/>
    <w:rsid w:val="00ED1352"/>
    <w:rsid w:val="00EF5500"/>
    <w:rsid w:val="00F36771"/>
    <w:rsid w:val="00F402E8"/>
    <w:rsid w:val="00F66007"/>
    <w:rsid w:val="00FC388E"/>
    <w:rsid w:val="00FC5520"/>
    <w:rsid w:val="00FD684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3CF9D9"/>
  <w15:chartTrackingRefBased/>
  <w15:docId w15:val="{1EE6BF47-86C8-4900-B5FE-4D074A867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5">
    <w:name w:val="heading 5"/>
    <w:basedOn w:val="Normln"/>
    <w:next w:val="Normln"/>
    <w:link w:val="Nadpis5Char"/>
    <w:qFormat/>
    <w:rsid w:val="00D02F23"/>
    <w:pPr>
      <w:overflowPunct w:val="0"/>
      <w:autoSpaceDE w:val="0"/>
      <w:autoSpaceDN w:val="0"/>
      <w:adjustRightInd w:val="0"/>
      <w:spacing w:before="240" w:after="60" w:line="240" w:lineRule="auto"/>
      <w:textAlignment w:val="baseline"/>
      <w:outlineLvl w:val="4"/>
    </w:pPr>
    <w:rPr>
      <w:rFonts w:ascii="Calibri" w:eastAsia="Times New Roman" w:hAnsi="Calibri" w:cs="Times New Roman"/>
      <w:b/>
      <w:bCs/>
      <w:i/>
      <w:iCs/>
      <w:sz w:val="26"/>
      <w:szCs w:val="26"/>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basedOn w:val="Standardnpsmoodstavce"/>
    <w:link w:val="Nadpis5"/>
    <w:rsid w:val="00D02F23"/>
    <w:rPr>
      <w:rFonts w:ascii="Calibri" w:eastAsia="Times New Roman" w:hAnsi="Calibri" w:cs="Times New Roman"/>
      <w:b/>
      <w:bCs/>
      <w:i/>
      <w:iCs/>
      <w:sz w:val="26"/>
      <w:szCs w:val="26"/>
      <w:lang w:val="x-none" w:eastAsia="x-none"/>
    </w:rPr>
  </w:style>
  <w:style w:type="table" w:styleId="Mkatabulky">
    <w:name w:val="Table Grid"/>
    <w:basedOn w:val="Normlntabulka"/>
    <w:uiPriority w:val="39"/>
    <w:rsid w:val="002715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85253F-1E07-45F4-8649-108A5DA980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769</TotalTime>
  <Pages>5</Pages>
  <Words>1878</Words>
  <Characters>11085</Characters>
  <Application>Microsoft Office Word</Application>
  <DocSecurity>0</DocSecurity>
  <Lines>92</Lines>
  <Paragraphs>25</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12938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Pokorná Kamila</dc:creator>
  <cp:keywords/>
  <dc:description/>
  <cp:lastModifiedBy>Pokorná Kamila</cp:lastModifiedBy>
  <cp:revision>69</cp:revision>
  <dcterms:created xsi:type="dcterms:W3CDTF">2021-08-23T08:31:00Z</dcterms:created>
  <dcterms:modified xsi:type="dcterms:W3CDTF">2025-04-09T05:43:00Z</dcterms:modified>
</cp:coreProperties>
</file>